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89" w:rsidRPr="00002B31" w:rsidRDefault="00584C89" w:rsidP="00584C89">
      <w:pPr>
        <w:rPr>
          <w:rFonts w:ascii="Times New Roman" w:hAnsi="Times New Roman" w:cs="Times New Roman"/>
          <w:sz w:val="24"/>
          <w:szCs w:val="24"/>
        </w:rPr>
      </w:pPr>
      <w:r w:rsidRPr="00002B31">
        <w:rPr>
          <w:rFonts w:ascii="Times New Roman" w:hAnsi="Times New Roman" w:cs="Times New Roman"/>
          <w:sz w:val="24"/>
          <w:szCs w:val="24"/>
        </w:rPr>
        <w:t>Modern Literature (Novel, Short Stories, Modern Poetry).</w:t>
      </w:r>
    </w:p>
    <w:p w:rsidR="00584C89" w:rsidRPr="00584C89" w:rsidRDefault="00584C89" w:rsidP="00584C89">
      <w:pPr>
        <w:spacing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584C89">
        <w:rPr>
          <w:rFonts w:ascii="Georgia" w:eastAsia="Times New Roman" w:hAnsi="Georgia" w:cs="Times New Roman"/>
          <w:b/>
          <w:bCs/>
          <w:sz w:val="24"/>
          <w:szCs w:val="24"/>
          <w:lang w:eastAsia="en-IN"/>
        </w:rPr>
        <w:t>Modernism</w:t>
      </w: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in the fine arts, a break with the past and the </w:t>
      </w:r>
      <w:hyperlink r:id="rId4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concurrent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search for new forms of expression. Modernism fostered a period of experimentation in the arts from the late 19th to the mid-20th century, particularly in the years following </w:t>
      </w:r>
      <w:hyperlink r:id="rId5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World War I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.</w:t>
      </w:r>
    </w:p>
    <w:p w:rsidR="00584C89" w:rsidRPr="00584C89" w:rsidRDefault="00584C89" w:rsidP="00584C8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In an era characterized by </w:t>
      </w:r>
      <w:hyperlink r:id="rId6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industrialization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the nearly global adoption of capitalism, rapid </w:t>
      </w:r>
      <w:hyperlink r:id="rId7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social change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and advances in </w:t>
      </w:r>
      <w:hyperlink r:id="rId8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science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and the </w:t>
      </w:r>
      <w:hyperlink r:id="rId9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social sciences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(e.g., Freudian theory), Modernists felt a growing alienation incompatible with Victorian </w:t>
      </w:r>
      <w:hyperlink r:id="rId10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morality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optimism, and convention. New ideas in psychology, </w:t>
      </w:r>
      <w:hyperlink r:id="rId11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philosophy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and political theory kindled a search for new modes of expression.</w:t>
      </w:r>
    </w:p>
    <w:p w:rsidR="00584C89" w:rsidRPr="00584C89" w:rsidRDefault="00584C89" w:rsidP="00584C89">
      <w:pPr>
        <w:spacing w:after="100" w:afterAutospacing="1" w:line="240" w:lineRule="auto"/>
        <w:outlineLvl w:val="1"/>
        <w:rPr>
          <w:rFonts w:ascii="var(--font-family-serif)" w:eastAsia="Times New Roman" w:hAnsi="var(--font-family-serif)" w:cs="Times New Roman"/>
          <w:b/>
          <w:bCs/>
          <w:sz w:val="36"/>
          <w:szCs w:val="36"/>
          <w:lang w:eastAsia="en-IN"/>
        </w:rPr>
      </w:pPr>
      <w:r w:rsidRPr="00584C89">
        <w:rPr>
          <w:rFonts w:ascii="var(--font-family-serif)" w:eastAsia="Times New Roman" w:hAnsi="var(--font-family-serif)" w:cs="Times New Roman"/>
          <w:b/>
          <w:bCs/>
          <w:sz w:val="36"/>
          <w:szCs w:val="36"/>
          <w:lang w:eastAsia="en-IN"/>
        </w:rPr>
        <w:t>Modernism in literature</w:t>
      </w:r>
    </w:p>
    <w:p w:rsidR="00584C89" w:rsidRPr="00584C89" w:rsidRDefault="00584C89" w:rsidP="0058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84C8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IN"/>
        </w:rPr>
        <w:drawing>
          <wp:inline distT="0" distB="0" distL="0" distR="0">
            <wp:extent cx="2857500" cy="3670300"/>
            <wp:effectExtent l="0" t="0" r="0" b="6350"/>
            <wp:docPr id="2" name="Picture 2" descr="https://cdn.britannica.com/82/138382-050-2E8FCB26/Virginia-Woolf.jpg?w=3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ritannica.com/82/138382-050-2E8FCB26/Virginia-Woolf.jpg?w=3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89" w:rsidRPr="00584C89" w:rsidRDefault="00584C89" w:rsidP="00584C89">
      <w:pPr>
        <w:spacing w:after="0" w:line="240" w:lineRule="auto"/>
        <w:rPr>
          <w:rFonts w:ascii="var(--font-family-serif)" w:eastAsia="Times New Roman" w:hAnsi="var(--font-family-serif)" w:cs="Times New Roman"/>
          <w:sz w:val="21"/>
          <w:szCs w:val="21"/>
          <w:lang w:eastAsia="en-IN"/>
        </w:rPr>
      </w:pPr>
      <w:r w:rsidRPr="00584C89">
        <w:rPr>
          <w:rFonts w:ascii="var(--font-family-serif)" w:eastAsia="Times New Roman" w:hAnsi="var(--font-family-serif)" w:cs="Times New Roman"/>
          <w:sz w:val="21"/>
          <w:szCs w:val="21"/>
          <w:lang w:eastAsia="en-IN"/>
        </w:rPr>
        <w:t>English novelist Virginia Woolf, 1928.</w:t>
      </w:r>
    </w:p>
    <w:p w:rsidR="00584C89" w:rsidRPr="00584C89" w:rsidRDefault="00584C89" w:rsidP="00584C89">
      <w:pPr>
        <w:spacing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 xml:space="preserve">The Modernist impulse is </w:t>
      </w:r>
      <w:proofErr w:type="spellStart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fueled</w:t>
      </w:r>
      <w:proofErr w:type="spellEnd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 xml:space="preserve"> in various literatures by industrialization and </w:t>
      </w:r>
      <w:hyperlink r:id="rId14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urbanization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 xml:space="preserve"> and by the search for an authentic response to a much-changed world. Although </w:t>
      </w:r>
      <w:proofErr w:type="spellStart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prewar</w:t>
      </w:r>
      <w:proofErr w:type="spellEnd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 xml:space="preserve"> works by </w:t>
      </w:r>
      <w:hyperlink r:id="rId15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Henry James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 </w:t>
      </w:r>
      <w:hyperlink r:id="rId16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Joseph Conrad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and other writers are considered Modernist, Modernism as a literary movement is typically associated with the period after </w:t>
      </w:r>
      <w:hyperlink r:id="rId17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World War I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. The enormity of the war had undermined humankind’s faith in the foundations of Western society and </w:t>
      </w:r>
      <w:hyperlink r:id="rId18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culture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 xml:space="preserve">, and </w:t>
      </w:r>
      <w:proofErr w:type="spellStart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postwar</w:t>
      </w:r>
      <w:proofErr w:type="spellEnd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 xml:space="preserve"> Modernist literature reflected a sense of disillusionment and fragmentation. A primary theme of </w:t>
      </w:r>
      <w:hyperlink r:id="rId19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T.S. Eliot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’s long poem </w:t>
      </w:r>
      <w:hyperlink r:id="rId20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The Waste Land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(1922), a </w:t>
      </w:r>
      <w:hyperlink r:id="rId21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seminal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Modernist work, is the search for redemption and renewal in a sterile and spiritually empty landscape. With its fragmentary images and obscure </w:t>
      </w:r>
      <w:hyperlink r:id="rId22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allusions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the poem is typical of Modernism in requiring the reader to take an active role in interpreting the text.</w:t>
      </w:r>
    </w:p>
    <w:p w:rsidR="00584C89" w:rsidRPr="00584C89" w:rsidRDefault="00584C89" w:rsidP="00584C89">
      <w:pPr>
        <w:spacing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Eliot’s was not the dominant voice among Modernist poets. In the </w:t>
      </w:r>
      <w:hyperlink r:id="rId23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United States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</w:t>
      </w:r>
      <w:hyperlink r:id="rId24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Robert Frost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and </w:t>
      </w:r>
      <w:hyperlink r:id="rId25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Carl Sandburg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evocatively described the regions—New England and the Midwest, respectively—in which they lived. The </w:t>
      </w:r>
      <w:hyperlink r:id="rId26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 xml:space="preserve">Harlem </w:t>
        </w:r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lastRenderedPageBreak/>
          <w:t>Renaissance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produced a rich coterie of poets, among them </w:t>
      </w:r>
      <w:proofErr w:type="spellStart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fldChar w:fldCharType="begin"/>
      </w: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instrText xml:space="preserve"> HYPERLINK "https://www.britannica.com/biography/Countee-Cullen" </w:instrText>
      </w: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fldChar w:fldCharType="separate"/>
      </w:r>
      <w:r w:rsidRPr="00584C89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en-IN"/>
        </w:rPr>
        <w:t>Countee</w:t>
      </w:r>
      <w:proofErr w:type="spellEnd"/>
      <w:r w:rsidRPr="00584C89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en-IN"/>
        </w:rPr>
        <w:t xml:space="preserve"> Cullen</w:t>
      </w: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fldChar w:fldCharType="end"/>
      </w: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 </w:t>
      </w:r>
      <w:hyperlink r:id="rId27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Langston Hughes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 </w:t>
      </w:r>
      <w:hyperlink r:id="rId28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Claude McKay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and </w:t>
      </w:r>
      <w:hyperlink r:id="rId29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Alice Dunbar Nelson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. </w:t>
      </w:r>
      <w:hyperlink r:id="rId30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Harriet Monroe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founded </w:t>
      </w:r>
      <w:r w:rsidRPr="00584C89">
        <w:rPr>
          <w:rFonts w:ascii="Georgia" w:eastAsia="Times New Roman" w:hAnsi="Georgia" w:cs="Times New Roman"/>
          <w:i/>
          <w:iCs/>
          <w:sz w:val="24"/>
          <w:szCs w:val="24"/>
          <w:lang w:eastAsia="en-IN"/>
        </w:rPr>
        <w:t>Poetry</w:t>
      </w: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magazine in Chicago in 1912 and made it the most important organ for </w:t>
      </w:r>
      <w:hyperlink r:id="rId31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poetry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not just in the United States but for the English-speaking world. During the 1920s </w:t>
      </w:r>
      <w:hyperlink r:id="rId32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Edna St. Vincent Millay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 </w:t>
      </w:r>
      <w:hyperlink r:id="rId33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Marianne Moore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and </w:t>
      </w:r>
      <w:hyperlink r:id="rId34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E.E. Cummings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expressed a spirit of revolution and experimentation in their poetry.</w:t>
      </w:r>
    </w:p>
    <w:p w:rsidR="00584C89" w:rsidRPr="00584C89" w:rsidRDefault="00584C89" w:rsidP="0058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84C89" w:rsidRPr="00584C89" w:rsidRDefault="00584C89" w:rsidP="00584C89">
      <w:pPr>
        <w:spacing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 xml:space="preserve">A sense of disillusionment and loss pervades much American Modernist fiction. That sense may be </w:t>
      </w:r>
      <w:proofErr w:type="spellStart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centerd</w:t>
      </w:r>
      <w:proofErr w:type="spellEnd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 xml:space="preserve"> on specific individuals, or it may be directed toward American society or toward civilization generally. It may generate a nihilistic, destructive impulse, or it may express hope at the prospect of change. </w:t>
      </w:r>
      <w:hyperlink r:id="rId35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F. Scott Fitzgerald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skewered the </w:t>
      </w:r>
      <w:hyperlink r:id="rId36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American Dream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in </w:t>
      </w:r>
      <w:hyperlink r:id="rId37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The Great Gatsby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(1925), </w:t>
      </w:r>
      <w:hyperlink r:id="rId38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Richard Wright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exposed and attacked American racism in </w:t>
      </w:r>
      <w:hyperlink r:id="rId39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Native Son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(1940), </w:t>
      </w:r>
      <w:hyperlink r:id="rId40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Zora Neale Hurston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told the story of a Black woman’s three marriages in </w:t>
      </w:r>
      <w:hyperlink r:id="rId41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Their Eyes Were Watching God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(1937), and </w:t>
      </w:r>
      <w:hyperlink r:id="rId42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Ernest Hemingway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’s early novels </w:t>
      </w:r>
      <w:hyperlink r:id="rId43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The Sun Also Rises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(1926) and </w:t>
      </w:r>
      <w:hyperlink r:id="rId44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A Farewell to Arms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(1929) </w:t>
      </w:r>
      <w:hyperlink r:id="rId45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articulated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the disillusionment of the </w:t>
      </w:r>
      <w:hyperlink r:id="rId46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Lost Generation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. Meanwhile, </w:t>
      </w:r>
      <w:hyperlink r:id="rId47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Willa Cather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told hopeful stories of the </w:t>
      </w:r>
      <w:hyperlink r:id="rId48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American frontier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set mostly on the </w:t>
      </w:r>
      <w:hyperlink r:id="rId49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Great Plains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in </w:t>
      </w:r>
      <w:hyperlink r:id="rId50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O Pioneers!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(1913) and </w:t>
      </w:r>
      <w:r w:rsidRPr="00584C89">
        <w:rPr>
          <w:rFonts w:ascii="Georgia" w:eastAsia="Times New Roman" w:hAnsi="Georgia" w:cs="Times New Roman"/>
          <w:i/>
          <w:iCs/>
          <w:sz w:val="24"/>
          <w:szCs w:val="24"/>
          <w:lang w:eastAsia="en-IN"/>
        </w:rPr>
        <w:t xml:space="preserve">My </w:t>
      </w:r>
      <w:proofErr w:type="spellStart"/>
      <w:r w:rsidRPr="00584C89">
        <w:rPr>
          <w:rFonts w:ascii="Georgia" w:eastAsia="Times New Roman" w:hAnsi="Georgia" w:cs="Times New Roman"/>
          <w:i/>
          <w:iCs/>
          <w:sz w:val="24"/>
          <w:szCs w:val="24"/>
          <w:lang w:eastAsia="en-IN"/>
        </w:rPr>
        <w:t>Ántonia</w:t>
      </w:r>
      <w:proofErr w:type="spellEnd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(1918), </w:t>
      </w:r>
      <w:hyperlink r:id="rId51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John Steinbeck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depicted the difficult lives of migrant workers in </w:t>
      </w:r>
      <w:hyperlink r:id="rId52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Of Mice and Men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(1937) and </w:t>
      </w:r>
      <w:hyperlink r:id="rId53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The Grapes of Wrath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(1939), and </w:t>
      </w:r>
      <w:hyperlink r:id="rId54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William Faulkner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used stream-of-consciousness monologues and other form</w:t>
      </w:r>
      <w:bookmarkStart w:id="0" w:name="_GoBack"/>
      <w:bookmarkEnd w:id="0"/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al techniques to break from past literary practice in </w:t>
      </w:r>
      <w:hyperlink r:id="rId55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The Sound and the Fury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(1929).</w:t>
      </w:r>
    </w:p>
    <w:p w:rsidR="00584C89" w:rsidRPr="00584C89" w:rsidRDefault="00584C89" w:rsidP="00584C89">
      <w:pPr>
        <w:spacing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n-IN"/>
        </w:rPr>
      </w:pP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Across the Atlantic, the publication of the Irish writer </w:t>
      </w:r>
      <w:hyperlink r:id="rId56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James Joyce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’s </w:t>
      </w:r>
      <w:hyperlink r:id="rId57" w:history="1">
        <w:r w:rsidRPr="00584C8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en-IN"/>
          </w:rPr>
          <w:t>Ulysses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in 1922 was a landmark event in the development of Modernist literature. Dense, lengthy, and controversial, the </w:t>
      </w:r>
      <w:hyperlink r:id="rId58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novel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details the events of one day in the life of three Dubliners through a technique known as </w:t>
      </w:r>
      <w:hyperlink r:id="rId59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stream of consciousness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which commonly ignores orderly sentence structure and incorporates fragments of thought in an attempt to capture the flow of characters’ mental processes. Portions of the book were considered obscene, and </w:t>
      </w:r>
      <w:r w:rsidRPr="00584C89">
        <w:rPr>
          <w:rFonts w:ascii="Georgia" w:eastAsia="Times New Roman" w:hAnsi="Georgia" w:cs="Times New Roman"/>
          <w:i/>
          <w:iCs/>
          <w:sz w:val="24"/>
          <w:szCs w:val="24"/>
          <w:lang w:eastAsia="en-IN"/>
        </w:rPr>
        <w:t>Ulysses</w:t>
      </w:r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was banned for many years in English-speaking countries. Other European Modernist authors whose works rejected chronological and narrative </w:t>
      </w:r>
      <w:hyperlink r:id="rId60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continuity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 included </w:t>
      </w:r>
      <w:hyperlink r:id="rId61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Virginia Woolf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 </w:t>
      </w:r>
      <w:hyperlink r:id="rId62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Marcel Proust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, and the American expatriate </w:t>
      </w:r>
      <w:hyperlink r:id="rId63" w:history="1">
        <w:r w:rsidRPr="00584C8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IN"/>
          </w:rPr>
          <w:t>Gertrude Stein</w:t>
        </w:r>
      </w:hyperlink>
      <w:r w:rsidRPr="00584C89">
        <w:rPr>
          <w:rFonts w:ascii="Georgia" w:eastAsia="Times New Roman" w:hAnsi="Georgia" w:cs="Times New Roman"/>
          <w:sz w:val="24"/>
          <w:szCs w:val="24"/>
          <w:lang w:eastAsia="en-IN"/>
        </w:rPr>
        <w:t>.</w:t>
      </w:r>
    </w:p>
    <w:p w:rsidR="003D41B7" w:rsidRDefault="003D41B7"/>
    <w:sectPr w:rsidR="003D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r(--font-family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89"/>
    <w:rsid w:val="003D41B7"/>
    <w:rsid w:val="005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A7E53-1E57-4417-95F6-7781BE29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C89"/>
  </w:style>
  <w:style w:type="paragraph" w:styleId="Heading2">
    <w:name w:val="heading 2"/>
    <w:basedOn w:val="Normal"/>
    <w:link w:val="Heading2Char"/>
    <w:uiPriority w:val="9"/>
    <w:qFormat/>
    <w:rsid w:val="00584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C8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topic-paragraph">
    <w:name w:val="topic-paragraph"/>
    <w:basedOn w:val="Normal"/>
    <w:rsid w:val="0058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84C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4C8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4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1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ritannica.com/event/Harlem-Renaissance-American-literature-and-art" TargetMode="External"/><Relationship Id="rId21" Type="http://schemas.openxmlformats.org/officeDocument/2006/relationships/hyperlink" Target="https://www.merriam-webster.com/dictionary/seminal" TargetMode="External"/><Relationship Id="rId34" Type="http://schemas.openxmlformats.org/officeDocument/2006/relationships/hyperlink" Target="https://www.britannica.com/biography/E-E-Cummings" TargetMode="External"/><Relationship Id="rId42" Type="http://schemas.openxmlformats.org/officeDocument/2006/relationships/hyperlink" Target="https://www.britannica.com/biography/Ernest-Hemingway" TargetMode="External"/><Relationship Id="rId47" Type="http://schemas.openxmlformats.org/officeDocument/2006/relationships/hyperlink" Target="https://www.britannica.com/biography/Willa-Cather" TargetMode="External"/><Relationship Id="rId50" Type="http://schemas.openxmlformats.org/officeDocument/2006/relationships/hyperlink" Target="https://www.britannica.com/topic/O-Pioneers" TargetMode="External"/><Relationship Id="rId55" Type="http://schemas.openxmlformats.org/officeDocument/2006/relationships/hyperlink" Target="https://www.britannica.com/topic/The-Sound-and-the-Fury-novel-by-Faulkner" TargetMode="External"/><Relationship Id="rId63" Type="http://schemas.openxmlformats.org/officeDocument/2006/relationships/hyperlink" Target="https://www.britannica.com/biography/Gertrude-Stein" TargetMode="External"/><Relationship Id="rId7" Type="http://schemas.openxmlformats.org/officeDocument/2006/relationships/hyperlink" Target="https://www.britannica.com/topic/social-chan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itannica.com/biography/Joseph-Conrad" TargetMode="External"/><Relationship Id="rId29" Type="http://schemas.openxmlformats.org/officeDocument/2006/relationships/hyperlink" Target="https://www.britannica.com/biography/Alice-Dunbar-Nelson" TargetMode="External"/><Relationship Id="rId11" Type="http://schemas.openxmlformats.org/officeDocument/2006/relationships/hyperlink" Target="https://www.britannica.com/topic/philosophy" TargetMode="External"/><Relationship Id="rId24" Type="http://schemas.openxmlformats.org/officeDocument/2006/relationships/hyperlink" Target="https://www.britannica.com/biography/Robert-Frost" TargetMode="External"/><Relationship Id="rId32" Type="http://schemas.openxmlformats.org/officeDocument/2006/relationships/hyperlink" Target="https://www.britannica.com/biography/Edna-St-Vincent-Millay" TargetMode="External"/><Relationship Id="rId37" Type="http://schemas.openxmlformats.org/officeDocument/2006/relationships/hyperlink" Target="https://www.britannica.com/topic/The-Great-Gatsby" TargetMode="External"/><Relationship Id="rId40" Type="http://schemas.openxmlformats.org/officeDocument/2006/relationships/hyperlink" Target="https://www.britannica.com/biography/Zora-Neale-Hurston" TargetMode="External"/><Relationship Id="rId45" Type="http://schemas.openxmlformats.org/officeDocument/2006/relationships/hyperlink" Target="https://www.merriam-webster.com/dictionary/articulated" TargetMode="External"/><Relationship Id="rId53" Type="http://schemas.openxmlformats.org/officeDocument/2006/relationships/hyperlink" Target="https://www.britannica.com/topic/The-Grapes-of-Wrath" TargetMode="External"/><Relationship Id="rId58" Type="http://schemas.openxmlformats.org/officeDocument/2006/relationships/hyperlink" Target="https://www.britannica.com/art/novel" TargetMode="External"/><Relationship Id="rId5" Type="http://schemas.openxmlformats.org/officeDocument/2006/relationships/hyperlink" Target="https://www.britannica.com/event/World-War-I" TargetMode="External"/><Relationship Id="rId61" Type="http://schemas.openxmlformats.org/officeDocument/2006/relationships/hyperlink" Target="https://www.britannica.com/biography/Virginia-Woolf" TargetMode="External"/><Relationship Id="rId19" Type="http://schemas.openxmlformats.org/officeDocument/2006/relationships/hyperlink" Target="https://www.britannica.com/biography/T-S-Eliot" TargetMode="External"/><Relationship Id="rId14" Type="http://schemas.openxmlformats.org/officeDocument/2006/relationships/hyperlink" Target="https://www.britannica.com/topic/urbanization" TargetMode="External"/><Relationship Id="rId22" Type="http://schemas.openxmlformats.org/officeDocument/2006/relationships/hyperlink" Target="https://www.merriam-webster.com/dictionary/allusions" TargetMode="External"/><Relationship Id="rId27" Type="http://schemas.openxmlformats.org/officeDocument/2006/relationships/hyperlink" Target="https://www.britannica.com/biography/Langston-Hughes" TargetMode="External"/><Relationship Id="rId30" Type="http://schemas.openxmlformats.org/officeDocument/2006/relationships/hyperlink" Target="https://www.britannica.com/biography/Harriet-Monroe" TargetMode="External"/><Relationship Id="rId35" Type="http://schemas.openxmlformats.org/officeDocument/2006/relationships/hyperlink" Target="https://www.britannica.com/biography/F-Scott-Fitzgerald" TargetMode="External"/><Relationship Id="rId43" Type="http://schemas.openxmlformats.org/officeDocument/2006/relationships/hyperlink" Target="https://www.britannica.com/topic/The-Sun-Also-Rises" TargetMode="External"/><Relationship Id="rId48" Type="http://schemas.openxmlformats.org/officeDocument/2006/relationships/hyperlink" Target="https://www.britannica.com/topic/American-frontier" TargetMode="External"/><Relationship Id="rId56" Type="http://schemas.openxmlformats.org/officeDocument/2006/relationships/hyperlink" Target="https://www.britannica.com/biography/James-Joyc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britannica.com/science/science" TargetMode="External"/><Relationship Id="rId51" Type="http://schemas.openxmlformats.org/officeDocument/2006/relationships/hyperlink" Target="https://www.britannica.com/biography/John-Steinbe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dn.britannica.com/82/138382-050-2E8FCB26/Virginia-Woolf.jpg" TargetMode="External"/><Relationship Id="rId17" Type="http://schemas.openxmlformats.org/officeDocument/2006/relationships/hyperlink" Target="https://www.britannica.com/event/World-War-I" TargetMode="External"/><Relationship Id="rId25" Type="http://schemas.openxmlformats.org/officeDocument/2006/relationships/hyperlink" Target="https://www.britannica.com/biography/Carl-Sandburg" TargetMode="External"/><Relationship Id="rId33" Type="http://schemas.openxmlformats.org/officeDocument/2006/relationships/hyperlink" Target="https://www.britannica.com/biography/Marianne-Moore" TargetMode="External"/><Relationship Id="rId38" Type="http://schemas.openxmlformats.org/officeDocument/2006/relationships/hyperlink" Target="https://www.britannica.com/biography/Richard-Wright-American-writer" TargetMode="External"/><Relationship Id="rId46" Type="http://schemas.openxmlformats.org/officeDocument/2006/relationships/hyperlink" Target="https://www.britannica.com/topic/Lost-Generation" TargetMode="External"/><Relationship Id="rId59" Type="http://schemas.openxmlformats.org/officeDocument/2006/relationships/hyperlink" Target="https://www.britannica.com/art/stream-of-consciousness" TargetMode="External"/><Relationship Id="rId20" Type="http://schemas.openxmlformats.org/officeDocument/2006/relationships/hyperlink" Target="https://www.britannica.com/topic/The-Waste-Land" TargetMode="External"/><Relationship Id="rId41" Type="http://schemas.openxmlformats.org/officeDocument/2006/relationships/hyperlink" Target="https://www.britannica.com/topic/Their-Eyes-Were-Watching-God" TargetMode="External"/><Relationship Id="rId54" Type="http://schemas.openxmlformats.org/officeDocument/2006/relationships/hyperlink" Target="https://www.britannica.com/biography/William-Faulkner" TargetMode="External"/><Relationship Id="rId62" Type="http://schemas.openxmlformats.org/officeDocument/2006/relationships/hyperlink" Target="https://www.britannica.com/biography/Marcel-Prous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itannica.com/topic/industrialization" TargetMode="External"/><Relationship Id="rId15" Type="http://schemas.openxmlformats.org/officeDocument/2006/relationships/hyperlink" Target="https://www.britannica.com/biography/Henry-James-American-writer" TargetMode="External"/><Relationship Id="rId23" Type="http://schemas.openxmlformats.org/officeDocument/2006/relationships/hyperlink" Target="https://www.britannica.com/place/United-States" TargetMode="External"/><Relationship Id="rId28" Type="http://schemas.openxmlformats.org/officeDocument/2006/relationships/hyperlink" Target="https://www.britannica.com/biography/Claude-McKay" TargetMode="External"/><Relationship Id="rId36" Type="http://schemas.openxmlformats.org/officeDocument/2006/relationships/hyperlink" Target="https://www.britannica.com/topic/American-Dream" TargetMode="External"/><Relationship Id="rId49" Type="http://schemas.openxmlformats.org/officeDocument/2006/relationships/hyperlink" Target="https://www.britannica.com/place/Great-Plains" TargetMode="External"/><Relationship Id="rId57" Type="http://schemas.openxmlformats.org/officeDocument/2006/relationships/hyperlink" Target="https://www.britannica.com/topic/Ulysses-novel-by-Joyce" TargetMode="External"/><Relationship Id="rId10" Type="http://schemas.openxmlformats.org/officeDocument/2006/relationships/hyperlink" Target="https://www.merriam-webster.com/dictionary/morality" TargetMode="External"/><Relationship Id="rId31" Type="http://schemas.openxmlformats.org/officeDocument/2006/relationships/hyperlink" Target="https://www.britannica.com/art/poetry" TargetMode="External"/><Relationship Id="rId44" Type="http://schemas.openxmlformats.org/officeDocument/2006/relationships/hyperlink" Target="https://www.britannica.com/topic/A-Farewell-to-Arms-novel" TargetMode="External"/><Relationship Id="rId52" Type="http://schemas.openxmlformats.org/officeDocument/2006/relationships/hyperlink" Target="https://www.britannica.com/topic/Of-Mice-and-Men-by-Steinbeck" TargetMode="External"/><Relationship Id="rId60" Type="http://schemas.openxmlformats.org/officeDocument/2006/relationships/hyperlink" Target="https://www.merriam-webster.com/dictionary/continuity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merriam-webster.com/dictionary/concurrent" TargetMode="External"/><Relationship Id="rId9" Type="http://schemas.openxmlformats.org/officeDocument/2006/relationships/hyperlink" Target="https://www.britannica.com/topic/social-science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merriam-webster.com/dictionary/culture" TargetMode="External"/><Relationship Id="rId39" Type="http://schemas.openxmlformats.org/officeDocument/2006/relationships/hyperlink" Target="https://www.britannica.com/topic/Native-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2024-07-20T06:33:00Z</dcterms:created>
  <dcterms:modified xsi:type="dcterms:W3CDTF">2024-07-20T06:39:00Z</dcterms:modified>
</cp:coreProperties>
</file>